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27655" cy="3797300"/>
            <wp:effectExtent l="0" t="0" r="10795" b="12700"/>
            <wp:docPr id="4" name="图片 4" descr="IMG_20171012_220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171012_2204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09240" cy="4012565"/>
            <wp:effectExtent l="0" t="0" r="10160" b="6985"/>
            <wp:docPr id="3" name="图片 3" descr="IMG_20171012_220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171012_2205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9240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27020" cy="1331595"/>
            <wp:effectExtent l="0" t="0" r="11430" b="1905"/>
            <wp:docPr id="5" name="图片 5" descr="IMG_20171012_220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171012_2205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重点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名词解释：一级结构、二级结构、三级结构、四级结构、域（domain）、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肽键的结构书写，包括方向</w:t>
      </w:r>
      <w:r>
        <w:drawing>
          <wp:inline distT="0" distB="0" distL="114300" distR="114300">
            <wp:extent cx="1842135" cy="671830"/>
            <wp:effectExtent l="0" t="0" r="5715" b="139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664845" cy="160020"/>
            <wp:effectExtent l="0" t="0" r="1905" b="1143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160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的数据特征要背！</w:t>
      </w:r>
      <w:r>
        <w:drawing>
          <wp:inline distT="0" distB="0" distL="114300" distR="114300">
            <wp:extent cx="3203575" cy="307975"/>
            <wp:effectExtent l="0" t="0" r="15875" b="158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30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蛋白质的功能以及举例，典型例子。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蛋白质分析中 （1）柱层析的原理 （2）电泳，特别是双向电泳的顺序（先等电点聚焦再分子量）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DF787A"/>
    <w:multiLevelType w:val="singleLevel"/>
    <w:tmpl w:val="59DF787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851F96"/>
    <w:rsid w:val="61851F9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2017-10-12T14:04:00Z</dcterms:created>
  <dc:creator>18030213169</dc:creator>
  <cp:lastModifiedBy>18030213169</cp:lastModifiedBy>
  <dcterms:modified xsi:type="dcterms:W3CDTF">2017-10-12T14:17:33Z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2052-10.1.0.6875</vt:lpwstr>
  </property>
</Properties>
</file>